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F01A" w14:textId="77777777" w:rsidR="003043E6" w:rsidRDefault="003043E6">
      <w:pPr>
        <w:spacing w:after="0"/>
        <w:ind w:left="-1440" w:right="15398"/>
      </w:pPr>
    </w:p>
    <w:tbl>
      <w:tblPr>
        <w:tblStyle w:val="TableGrid"/>
        <w:tblW w:w="15388" w:type="dxa"/>
        <w:tblInd w:w="-715" w:type="dxa"/>
        <w:tblCellMar>
          <w:top w:w="49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562"/>
        <w:gridCol w:w="1047"/>
        <w:gridCol w:w="1369"/>
        <w:gridCol w:w="4111"/>
        <w:gridCol w:w="2693"/>
        <w:gridCol w:w="5606"/>
      </w:tblGrid>
      <w:tr w:rsidR="003043E6" w14:paraId="4DEAEC53" w14:textId="77777777">
        <w:trPr>
          <w:trHeight w:val="907"/>
        </w:trPr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06F6" w14:textId="77777777" w:rsidR="003043E6" w:rsidRDefault="00D42750">
            <w:r>
              <w:rPr>
                <w:b/>
                <w:i/>
              </w:rPr>
              <w:t>Nazwa dokumentu: projekt ustawy o zmianie ustawy o doradztwie podatkowym</w:t>
            </w:r>
          </w:p>
        </w:tc>
      </w:tr>
      <w:tr w:rsidR="003043E6" w14:paraId="1F0D97A9" w14:textId="77777777" w:rsidTr="000045DC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07A4" w14:textId="77777777" w:rsidR="003043E6" w:rsidRDefault="00D42750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6F019" w14:textId="77777777" w:rsidR="003043E6" w:rsidRDefault="00D42750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14:paraId="7ED5E0E5" w14:textId="77777777" w:rsidR="003043E6" w:rsidRDefault="00D42750">
            <w:pPr>
              <w:ind w:right="50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AE05" w14:textId="77777777" w:rsidR="003043E6" w:rsidRDefault="00D42750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1D1DE756" w14:textId="77777777" w:rsidR="003043E6" w:rsidRDefault="00D42750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88EA" w14:textId="77777777" w:rsidR="003043E6" w:rsidRDefault="00D42750">
            <w:pPr>
              <w:ind w:right="50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351B" w14:textId="77777777" w:rsidR="003043E6" w:rsidRDefault="00D42750">
            <w:pPr>
              <w:ind w:right="51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EF3D9" w14:textId="31FB3A6E" w:rsidR="003043E6" w:rsidRDefault="00D42750">
            <w:pPr>
              <w:jc w:val="center"/>
            </w:pPr>
            <w:r>
              <w:rPr>
                <w:b/>
              </w:rPr>
              <w:t xml:space="preserve">Odniesienie </w:t>
            </w:r>
            <w:r w:rsidR="00B763D4">
              <w:rPr>
                <w:b/>
              </w:rPr>
              <w:t xml:space="preserve">MF </w:t>
            </w:r>
            <w:r>
              <w:rPr>
                <w:b/>
              </w:rPr>
              <w:t>do uwagi</w:t>
            </w:r>
          </w:p>
        </w:tc>
      </w:tr>
      <w:tr w:rsidR="003043E6" w14:paraId="6BFBFCC2" w14:textId="77777777" w:rsidTr="000045DC">
        <w:trPr>
          <w:trHeight w:val="17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0157" w14:textId="77777777" w:rsidR="003043E6" w:rsidRDefault="00D42750">
            <w:pPr>
              <w:ind w:right="5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435E" w14:textId="77777777" w:rsidR="003043E6" w:rsidRDefault="00D42750">
            <w:pPr>
              <w:ind w:right="50"/>
              <w:jc w:val="center"/>
            </w:pPr>
            <w:r>
              <w:rPr>
                <w:b/>
              </w:rPr>
              <w:t xml:space="preserve">RCL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420B" w14:textId="77777777" w:rsidR="003043E6" w:rsidRDefault="00D42750">
            <w:pPr>
              <w:jc w:val="center"/>
            </w:pPr>
            <w:r>
              <w:t xml:space="preserve">Art. 1 pkt 17 projektu w </w:t>
            </w:r>
          </w:p>
          <w:p w14:paraId="4C23721E" w14:textId="77777777" w:rsidR="003043E6" w:rsidRDefault="00D42750">
            <w:pPr>
              <w:ind w:left="14" w:hanging="14"/>
              <w:jc w:val="center"/>
            </w:pPr>
            <w:r>
              <w:t xml:space="preserve">zakresie art. 24b ust. 1  pkt 3 ustawy o </w:t>
            </w:r>
          </w:p>
          <w:p w14:paraId="06DDC5BD" w14:textId="77777777" w:rsidR="003043E6" w:rsidRDefault="00D42750">
            <w:pPr>
              <w:jc w:val="center"/>
            </w:pPr>
            <w:r>
              <w:t>doradztwie podatkowym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992A" w14:textId="77777777" w:rsidR="003043E6" w:rsidRDefault="00D42750">
            <w:pPr>
              <w:ind w:right="50"/>
              <w:jc w:val="both"/>
            </w:pPr>
            <w:r>
              <w:t>Wskazany w dodawanym art. 24b ust. 1 ustawy  o doradztwie podatkowym system teleinformatyczny (</w:t>
            </w:r>
            <w:proofErr w:type="spellStart"/>
            <w:r>
              <w:t>eDoradca</w:t>
            </w:r>
            <w:proofErr w:type="spellEnd"/>
            <w:r>
              <w:t xml:space="preserve">) ma służyć m.in. do przeprowadzania egzaminu na doradcę podatkowego – zarówno jego części pisemnej, jak i ustnej. Projekt wprowadza wyłączność takiego sposobu przeprowadzania egzaminu (w przypadku awarii systemu egzamin nie dochodzi do skutku w wyznaczonym terminie). W projekcie nie określono jednak zasad przeprowadzania egzaminu w takim systemie (nie wyjaśniono ich także w uzasadnieniu projektu) – przeprowadzenie egzaminu pisemnego może polegać np. zarówno na przesłaniu do systemu pracy pisemnej, jak i na pisaniu takiej pracy w systemie w czasie rzeczywistym podczas egzaminu. Przeprowadzenie w systemie egzaminu ustnego wymaga, jak się wydaje, bezpośredniej komunikacji w czasie rzeczywistym kandydata i Komisji (całego składu egzaminacyjnego). Stosownie do przyjętych zasad przeprowadzania egzaminu powinny być też zapewnione </w:t>
            </w:r>
            <w:r>
              <w:lastRenderedPageBreak/>
              <w:t>odpowiednie funkcjonalności samego systemu.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B87E6" w14:textId="77777777" w:rsidR="003043E6" w:rsidRDefault="00D42750">
            <w:pPr>
              <w:ind w:right="50"/>
              <w:jc w:val="both"/>
            </w:pPr>
            <w:r>
              <w:lastRenderedPageBreak/>
              <w:t>Zasadne jest wyjaśnienie zamierzonego sposobu przeprowadzania egzaminu (w szczególności jego części ustnej) z wykorzystaniem systemu e-Doradca. W zależności od przyjętych w tym zakresie zasad może być niezbędne uzupełnienie regulacji materialnych ustawy. Projekt przewiduje przekazanie materii sposobu przeprowadzania egzaminu do uregulowania w akcie wykonawczym – ocena podziału materii między ustawę a akt wykonawczy będzie możliwa po dołączeniu do projektu wstępnego projektu aktu wykonawczego.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03E3" w14:textId="52F0A21A" w:rsidR="000045DC" w:rsidRDefault="000045DC" w:rsidP="00416BD5">
            <w:pPr>
              <w:jc w:val="both"/>
            </w:pPr>
            <w:r>
              <w:t>Uwaga została uwzględniona i uzasadnienie projektu zostanie odpowiednio uzupełnione</w:t>
            </w:r>
            <w:r w:rsidR="00430675">
              <w:t>,</w:t>
            </w:r>
            <w:r>
              <w:t xml:space="preserve"> a kwestie dotyczące sposobu przeprowadzania egzaminu przy wykorzystaniu systemu e-Doradca – zgodnie z delegacją wprowadzaną w art. 24c pkt 4 </w:t>
            </w:r>
            <w:r w:rsidR="00430675">
              <w:t xml:space="preserve">znowelizowanej </w:t>
            </w:r>
            <w:r>
              <w:t>ustawy</w:t>
            </w:r>
            <w:r w:rsidR="00430675">
              <w:t xml:space="preserve"> </w:t>
            </w:r>
            <w:r>
              <w:t xml:space="preserve">– </w:t>
            </w:r>
            <w:r w:rsidR="00430675">
              <w:t>wynikać będą z</w:t>
            </w:r>
            <w:r>
              <w:t xml:space="preserve"> ak</w:t>
            </w:r>
            <w:r w:rsidR="00430675">
              <w:t>tu</w:t>
            </w:r>
            <w:r>
              <w:t xml:space="preserve"> wykonawcz</w:t>
            </w:r>
            <w:r w:rsidR="00430675">
              <w:t>ego</w:t>
            </w:r>
            <w:r>
              <w:t>, którego projekt zostanie przedłożony wraz z</w:t>
            </w:r>
            <w:r w:rsidR="00416BD5">
              <w:t> </w:t>
            </w:r>
            <w:r>
              <w:t xml:space="preserve">projektem ustawy na kolejnym etapie procesu legislacyjnego, przy kierowaniu </w:t>
            </w:r>
            <w:r w:rsidR="0063439B">
              <w:t xml:space="preserve">go </w:t>
            </w:r>
            <w:r>
              <w:t xml:space="preserve">do rozpatrzenia przez Stały Komitet Rady Ministrów. </w:t>
            </w:r>
          </w:p>
          <w:p w14:paraId="2A1A068A" w14:textId="25F7466A" w:rsidR="000045DC" w:rsidRDefault="000045DC" w:rsidP="00416BD5">
            <w:pPr>
              <w:jc w:val="both"/>
            </w:pPr>
            <w:r>
              <w:t xml:space="preserve">Podkreślić należy, że przeprowadzenie egzaminu na doradcę podatkowego z wykorzystaniem systemu e-Doradca stanowi odzwierciedlenie wynikającej </w:t>
            </w:r>
            <w:r w:rsidR="0063439B">
              <w:t xml:space="preserve">z obowiązujących </w:t>
            </w:r>
            <w:r>
              <w:t>już przepisów ustawy czy aktów doń wykonawczych procedury, a zatem nie zmienia się dotychczasowy wymóg stawiennictwa kandydata w miejscu przeprowadzenia egzaminu i przystąpienia doń w</w:t>
            </w:r>
            <w:r w:rsidR="00416BD5">
              <w:t> </w:t>
            </w:r>
            <w:r>
              <w:t xml:space="preserve">bezpośredniej obecności członków Komisji Egzaminacyjnej (sześcioosobowego składu egzaminacyjnego, o którym </w:t>
            </w:r>
            <w:r w:rsidR="0063439B">
              <w:t xml:space="preserve">mowa </w:t>
            </w:r>
            <w:r>
              <w:t>w art. 22 ust. 13 ustawy). Kandydat, który stawi się we wskazanym przez sekretarza Komisji Egzaminacyjnej terminie na egzaminie, przystąpi do niego we wskazanej mu sali, w</w:t>
            </w:r>
            <w:r w:rsidR="00416BD5">
              <w:t> </w:t>
            </w:r>
            <w:r>
              <w:t xml:space="preserve">której nad przebiegiem egzaminu czuwać będzie wyznaczony przez przewodniczącego Komisji Egzaminacyjnej skład egzaminacyjny, tyle że zdawać go będzie po zalogowaniu się na swoje konto w systemie, przy użyciu udostępnionego mu w sali egzaminacyjnej - na ten czas - </w:t>
            </w:r>
            <w:r>
              <w:lastRenderedPageBreak/>
              <w:t>sprzętu komputerowego urzędu obsługującego ministra właściwego do spraw finansów publicznych. Wykorzystanie systemu nie oznacza możliwości przystępowania do egzaminu na odległość (zdalnie).</w:t>
            </w:r>
          </w:p>
          <w:p w14:paraId="4379A556" w14:textId="77AA115F" w:rsidR="000045DC" w:rsidRDefault="000045DC" w:rsidP="00416BD5">
            <w:pPr>
              <w:jc w:val="both"/>
            </w:pPr>
            <w:r>
              <w:t>W systemie e-Doradca dokonywane będą przez członków Komisji Egzaminacyjnej czynności organizacyjne związane z</w:t>
            </w:r>
            <w:r w:rsidR="00416BD5">
              <w:t> </w:t>
            </w:r>
            <w:r>
              <w:t>przeprowadzeniem egzaminu – zarówno części pisemnej jak i ustnej – m.in.: potwierdzenie dokonania weryfikacji tożsamości kandydata, który stawił się na egzamin (na podstawie okazanego przez niego dokumentu tożsamości), wskazani</w:t>
            </w:r>
            <w:r w:rsidR="00FB10A0">
              <w:t>e</w:t>
            </w:r>
            <w:r>
              <w:t xml:space="preserve"> czasu rozpoczęcia i zakończenia egzaminu, odnotow</w:t>
            </w:r>
            <w:r w:rsidR="00FB10A0">
              <w:t>anie</w:t>
            </w:r>
            <w:r>
              <w:t xml:space="preserve"> istotnych informacji związanych z jego przebiegiem, w tym wykluczenia kandydata z egzaminu (w</w:t>
            </w:r>
            <w:r w:rsidR="00416BD5">
              <w:t> </w:t>
            </w:r>
            <w:r>
              <w:t>przypadkach określonych w akcie wykonawczym) czego skutkiem będzie zablokowanie kandydatowi możliwości dalszej pracy w systemie, a tym samym - dalszego udziału w</w:t>
            </w:r>
            <w:r w:rsidR="00416BD5">
              <w:t> </w:t>
            </w:r>
            <w:r>
              <w:t>egzaminie.</w:t>
            </w:r>
          </w:p>
          <w:p w14:paraId="2C746EA7" w14:textId="00CC072D" w:rsidR="000045DC" w:rsidRDefault="000045DC" w:rsidP="00416BD5">
            <w:pPr>
              <w:jc w:val="both"/>
            </w:pPr>
            <w:r>
              <w:t>W przypadku części pisemnej egzaminu przeprowadzanej przy wykorzystaniu systemu e-Doradca, kandydat będzie rozwiązywał udostępnione mu przez członków Komisji Egzaminacyjnej - w trakcie egzaminu na jego koncie w</w:t>
            </w:r>
            <w:r w:rsidR="00416BD5">
              <w:t> </w:t>
            </w:r>
            <w:r>
              <w:t xml:space="preserve">systemie - pytania  (test) i zadania egzaminacyjne. Zatem zdawanie egzaminu/sporządzenie odpowiedzi w systemie/ będzie się odbywało analogicznie jak obecnie w czasie rzeczywistym, podczas trwania egzaminu. Czas udostępnienia testu i zadań w systemie będzie taki sam jak </w:t>
            </w:r>
            <w:r w:rsidR="00DA2AAD">
              <w:t>-</w:t>
            </w:r>
            <w:r>
              <w:t>przewidziany w</w:t>
            </w:r>
            <w:r w:rsidR="00416BD5">
              <w:t> </w:t>
            </w:r>
            <w:r>
              <w:t>akcie wykonawczym wydawanym na podstawie art. 26 ustawy</w:t>
            </w:r>
            <w:r w:rsidR="00DA2AAD">
              <w:t xml:space="preserve"> - </w:t>
            </w:r>
            <w:r>
              <w:t xml:space="preserve">czas na rozwiązanie testu i zadania. Także w systemie członkowie Komisji Egzaminacyjnej dokonywać będą odczytu i oceny pracy egzaminacyjnej, przy czym celem zapewnienia obiektywizmu </w:t>
            </w:r>
            <w:r w:rsidR="00DA2AAD">
              <w:t xml:space="preserve">składu egzaminacyjnego w realizowanych </w:t>
            </w:r>
            <w:r>
              <w:t xml:space="preserve">na tym etapie </w:t>
            </w:r>
            <w:r w:rsidR="00DA2AAD">
              <w:t>czynnościach</w:t>
            </w:r>
            <w:r>
              <w:t xml:space="preserve">, system zapewni </w:t>
            </w:r>
            <w:proofErr w:type="spellStart"/>
            <w:r>
              <w:t>anonimizację</w:t>
            </w:r>
            <w:proofErr w:type="spellEnd"/>
            <w:r>
              <w:t xml:space="preserve"> </w:t>
            </w:r>
            <w:r w:rsidR="00DA2AAD">
              <w:t xml:space="preserve">ocenianej pracy </w:t>
            </w:r>
            <w:r>
              <w:t xml:space="preserve">uniemożliwiającą identyfikację kandydata będącego jej autorem, aż do momentu zakończenia oceny. Wynik (ocena) części pisemnej egzaminu będzie zapisywał się na koncie kandydata w systemie, gdzie będzie miał on do </w:t>
            </w:r>
            <w:r>
              <w:lastRenderedPageBreak/>
              <w:t>niego dostęp, tak jak do innych informacji związanych ze swoimi egzaminami przeprowadzanymi w ramach aktualnego cyklu egzaminacyjnego.</w:t>
            </w:r>
          </w:p>
          <w:p w14:paraId="563C434B" w14:textId="4D032BF9" w:rsidR="000045DC" w:rsidRDefault="000045DC" w:rsidP="00416BD5">
            <w:pPr>
              <w:jc w:val="both"/>
            </w:pPr>
            <w:r>
              <w:t>W przypadku części ustnej egzaminu przeprowadzanej przy wykorzystaniu systemu e-Doradca, kandydat będzie – tak jak dotychczas - udzielał odpowiedzi ustnej na pytania zawarte w</w:t>
            </w:r>
            <w:r w:rsidR="00416BD5">
              <w:t> </w:t>
            </w:r>
            <w:r>
              <w:t>zestawie pytań egzaminacyjnych, z tą jednak różnicą, że zestaw pytań zostanie przez członków Komisji Egzaminacyjnej udostępniony kandydatowi w trakcie egzaminu na jego koncie w systemie e-Doradca, przez czas niezbędny do przygotowania się kandydata do odpowiedzi oraz czas udzielania odpowiedzi. Egzamin nadal będzie zatem polegał na bezpośredniej komunikacji w czasie rzeczywistym kandydata i członków Komisji Egzaminacyjnej, a system będzie w tym przypadku stanowił narzędzie wsparcia przede wszystkim dokumentacyjnego (a także potwierdzającego tożsamość kandydata poprzez obowiązek logowania się do systemu po wejściu do sali egzaminacyjnej w przyjęty sposób – tj. za pośrednictwem węzła krajowego). Członkowie składu egzaminacyjnego przeprowadzający egzamin wobec kandydata, dokonywać będą oceny jego odpowiedzi ustnej bezpośrednio po zakończeniu przez kandydata tej części egzaminu - analogicznie jak obecnie, jednak zapisując ją już bezpośrednio w systemie, co usprawni również sam proces protokołowania czynności egzaminacyjnych. Wynik z części ustnej egzaminu będzie się zapisywał w systemie jednocześnie na koncie kandydata, gdzie będzie on miał do niego dostęp.</w:t>
            </w:r>
          </w:p>
          <w:p w14:paraId="1A593968" w14:textId="60EE7B46" w:rsidR="003043E6" w:rsidRDefault="000045DC" w:rsidP="00416BD5">
            <w:pPr>
              <w:jc w:val="both"/>
            </w:pPr>
            <w:r>
              <w:t>W celu realizacji powyższego sposobu przeprowadzania egzaminu, zapewnione zostaną odpowiednie funkcjonalności systemu e-Doradca.</w:t>
            </w:r>
          </w:p>
        </w:tc>
      </w:tr>
      <w:tr w:rsidR="003043E6" w14:paraId="206A0B3E" w14:textId="77777777" w:rsidTr="0000248C">
        <w:trPr>
          <w:trHeight w:val="65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7E3C" w14:textId="77777777" w:rsidR="003043E6" w:rsidRDefault="00D42750">
            <w:pPr>
              <w:ind w:right="50"/>
              <w:jc w:val="center"/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A309" w14:textId="77777777" w:rsidR="003043E6" w:rsidRDefault="00D42750">
            <w:pPr>
              <w:ind w:right="50"/>
              <w:jc w:val="center"/>
            </w:pPr>
            <w:r>
              <w:rPr>
                <w:b/>
              </w:rPr>
              <w:t>RCL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3E93" w14:textId="77777777" w:rsidR="003043E6" w:rsidRDefault="00D42750">
            <w:pPr>
              <w:jc w:val="center"/>
            </w:pPr>
            <w:r>
              <w:t xml:space="preserve">Art. 1 pkt 17 projektu w </w:t>
            </w:r>
          </w:p>
          <w:p w14:paraId="1D9770FC" w14:textId="77777777" w:rsidR="003043E6" w:rsidRDefault="00D42750">
            <w:pPr>
              <w:ind w:right="50"/>
              <w:jc w:val="center"/>
            </w:pPr>
            <w:r>
              <w:t xml:space="preserve">zakresie art. 24b </w:t>
            </w:r>
          </w:p>
          <w:p w14:paraId="55D63662" w14:textId="77777777" w:rsidR="003043E6" w:rsidRDefault="00D42750">
            <w:pPr>
              <w:jc w:val="center"/>
            </w:pPr>
            <w:r>
              <w:lastRenderedPageBreak/>
              <w:t>ust. 3 ustawy o doradztwie podatkowym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2858" w14:textId="06D33068" w:rsidR="003043E6" w:rsidRDefault="00D42750">
            <w:pPr>
              <w:ind w:right="50"/>
              <w:jc w:val="both"/>
            </w:pPr>
            <w:r>
              <w:lastRenderedPageBreak/>
              <w:t xml:space="preserve">Zgodnie z dodawanym art. 24b ust. 3 ustawy o doradztwie podatkowym dostęp kandydata na doradcę podatkowego do systemu e-Doradca jest możliwy przez okres niezbędny do wykonywania jego zadań lub </w:t>
            </w:r>
            <w:r>
              <w:lastRenderedPageBreak/>
              <w:t xml:space="preserve">obowiązków, nie dłużej jednak niż do dnia upływu wskazanego okresu od uzyskania pozytywnego wyniku części ustnej egzaminu. Regulacja ta nie uwzględnia przypadków zakończenia cyklu egzaminacyjnego danego kandydata zgodnie z dodawanym art. 24a ust. 1 pkt 2 i 3 i ust. 2 pkt 2 ustawy o doradztwie podatkowym (wskutek </w:t>
            </w:r>
            <w:r w:rsidR="00B763D4" w:rsidRPr="00B763D4">
              <w:t>nieprzystąpienia do egzaminu w wyznaczonym okresie). Utrzymanie dostępu do systemu w tych przypadkach  wymaga wyjaśnienia bądź korekty – tym bardziej, że zgodnie ze zmienianym art. 25a ust. 4 tej ustawy dane osobowe kandydatów, których cykl egzaminacyjny zakończył się, mają być usuwane we wskazanym w tym przepisie terminie.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6A2B" w14:textId="77777777" w:rsidR="003043E6" w:rsidRDefault="00D42750">
            <w:pPr>
              <w:ind w:right="50"/>
              <w:jc w:val="both"/>
            </w:pPr>
            <w:r>
              <w:lastRenderedPageBreak/>
              <w:t xml:space="preserve">Zasadne jest uwzględnienie w dodawanym art. 24b ust. 3 ustawy o doradztwie podatkowym wszystkich przypadków zakończenia </w:t>
            </w:r>
            <w:r>
              <w:lastRenderedPageBreak/>
              <w:t xml:space="preserve">cyklu egzaminacyjnego kandydata bądź  wyjaśnienie w uzasadnieniu projektu celowości utrzymania dostępu kandydata do systemu </w:t>
            </w:r>
            <w:proofErr w:type="spellStart"/>
            <w:r>
              <w:t>eDoradca</w:t>
            </w:r>
            <w:proofErr w:type="spellEnd"/>
            <w:r>
              <w:t xml:space="preserve">. 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C112" w14:textId="536E574C" w:rsidR="000045DC" w:rsidRDefault="000045DC" w:rsidP="00416BD5">
            <w:pPr>
              <w:jc w:val="both"/>
            </w:pPr>
            <w:r>
              <w:lastRenderedPageBreak/>
              <w:t xml:space="preserve">Uwaga została uwzględniona i </w:t>
            </w:r>
            <w:r w:rsidRPr="000045DC">
              <w:t>dodawany art. 24b ust. 3 ustawy</w:t>
            </w:r>
            <w:r w:rsidRPr="000045DC" w:rsidDel="000045DC">
              <w:t xml:space="preserve"> </w:t>
            </w:r>
            <w:r>
              <w:t xml:space="preserve">zostanie odpowiednio zmodyfikowany poprzez wskazanie jednolitego dla wszystkich przypadków zakończenia cyklu egzaminacyjnego, określonych w art. 24a ustawy, okresu dostępu kandydata do konta w e-Doradcy, </w:t>
            </w:r>
            <w:r>
              <w:lastRenderedPageBreak/>
              <w:t xml:space="preserve">który </w:t>
            </w:r>
            <w:r w:rsidR="00CD1657">
              <w:t xml:space="preserve">to dostęp </w:t>
            </w:r>
            <w:r>
              <w:t>w każdym przypadku będzie się kończył z</w:t>
            </w:r>
            <w:r w:rsidR="00416BD5">
              <w:t> </w:t>
            </w:r>
            <w:r>
              <w:t xml:space="preserve">upływem 2 miesięcy od zakończenia cyklu egzaminacyjnego. </w:t>
            </w:r>
          </w:p>
          <w:p w14:paraId="38B20DC5" w14:textId="5598838F" w:rsidR="000045DC" w:rsidRDefault="000045DC" w:rsidP="00416BD5">
            <w:pPr>
              <w:jc w:val="both"/>
            </w:pPr>
            <w:r>
              <w:t>Biorąc pod uwagę wyrażoną w treści dodawanego art. 24b ust. 3 ustawy intencję powiązania czasokresu niezbędności posiadania dostępu do systemu z wykonywaniem przez kandydata ubiegającego się o zdanie egzaminu na doradcę podatkowego zadań lub obowiązków, których możliwość realizacji kończy się wraz z zakończeniem cyklu egzaminacyjnego (kiedy to kandydat – w związku z</w:t>
            </w:r>
            <w:r w:rsidR="00416BD5">
              <w:t> </w:t>
            </w:r>
            <w:r>
              <w:t>zakończeniem cyklu i niezależnie od sposobu jego zakończenia - traci także status kandydata na doradcę podatkowego), dalsze utrzymanie dostępu do tego konta nie jest zasadne. Niemniej jednak kandydaci, których cykl egzaminacyjny zakończył się pomimo nieuzyskania pozytywnego wyniku z egzaminu (tj. w przypadku, o którym mowa w art. 24a ust. 1 pkt 2 i 3 oraz w ust. 2 pkt 2 ustawy) zainteresowani rozpoczęciem kolejnego cyklu egzaminacyjnego będą mogli ponownie złożyć wniosek o</w:t>
            </w:r>
            <w:r w:rsidR="00416BD5">
              <w:t> </w:t>
            </w:r>
            <w:r>
              <w:t>dopuszczenie do egzaminu i wyznaczenie terminu części pisemnej egzaminu, uzyskując tym samym dostęp do konta w</w:t>
            </w:r>
            <w:r w:rsidR="00416BD5">
              <w:t> </w:t>
            </w:r>
            <w:r>
              <w:t>e-Doradcy dla nowego cyklu.</w:t>
            </w:r>
          </w:p>
          <w:p w14:paraId="21C6FEEF" w14:textId="1822F71C" w:rsidR="000045DC" w:rsidRDefault="000045DC" w:rsidP="00416BD5">
            <w:pPr>
              <w:jc w:val="both"/>
            </w:pPr>
            <w:r>
              <w:t>Utrzymanie dostępu do systemu przez dodatkowe 2 miesiące po zakończeniu cyklu egzaminacyjnego uzasadnione jest przede wszystkim potrzebą zapewnienia kandydatom możliwości zakończenia wszystkich spraw związanych z</w:t>
            </w:r>
            <w:r w:rsidR="00416BD5">
              <w:t> </w:t>
            </w:r>
            <w:r>
              <w:t>egzaminami wyznaczonymi w cyklu.</w:t>
            </w:r>
          </w:p>
          <w:p w14:paraId="6A2ECB6C" w14:textId="7F5ACEDF" w:rsidR="000045DC" w:rsidRDefault="000045DC" w:rsidP="00416BD5">
            <w:pPr>
              <w:jc w:val="both"/>
            </w:pPr>
            <w:r>
              <w:t>I tak, w przypadku kandydata, którego cykl egzaminacyjny zakończy się wskutek uzyskania pozytywnego wyniku z części ustnej egzaminu na doradcę podatkowego 2-miesięczny okres zapewni mu możliwość pobrania ze swojego konta w</w:t>
            </w:r>
            <w:r w:rsidR="00416BD5">
              <w:t> </w:t>
            </w:r>
            <w:r>
              <w:t xml:space="preserve">systemie dokumentu elektronicznego potwierdzającego złożenie z wynikiem pozytywnym egzaminu na doradcę podatkowego (tzw. „zaświadczenie o zdanym egzaminie”). Jednocześnie, po upływie tego okresu, ale do czasu usunięcia danych kandydata stosownie do zmienianego art. 25a ust. 4 </w:t>
            </w:r>
            <w:r>
              <w:lastRenderedPageBreak/>
              <w:t xml:space="preserve">ustawy, w przypadku konieczności powtórnego pobrania przez osobę, która uzyskała pozytywny wynik z części ustnej egzaminu ww. dokumentu, możliwe będzie jego uzyskanie za </w:t>
            </w:r>
            <w:r w:rsidRPr="0000248C">
              <w:t>pośrednictwem komórki organizacyjnej w urzędzie obsługującym ministra właściwego do spraw finansów publicznych zapewniającej obsługę administracyjno-biurową Komisji Egzaminacyjnej</w:t>
            </w:r>
            <w:r>
              <w:t>.</w:t>
            </w:r>
          </w:p>
          <w:p w14:paraId="67E6E848" w14:textId="14DA212B" w:rsidR="003043E6" w:rsidRDefault="008F74A8" w:rsidP="00416BD5">
            <w:pPr>
              <w:jc w:val="both"/>
            </w:pPr>
            <w:r w:rsidRPr="008F74A8">
              <w:t>W przypadku kandydata, którego cykl egzaminacyjny zakończy się wskutek upływu okresu</w:t>
            </w:r>
            <w:r>
              <w:t xml:space="preserve"> na przystąpienie do części ustnej egzaminu</w:t>
            </w:r>
            <w:r w:rsidRPr="008F74A8">
              <w:t xml:space="preserve">, o którym mowa w art. 24 ust. 4 albo ust. 6 ustawy, kandydatowi przysługiwać z kolei może prawo złożenia wniosku o zwrot połowy opłaty egzaminacyjnej </w:t>
            </w:r>
            <w:r w:rsidR="00416BD5">
              <w:t>–</w:t>
            </w:r>
            <w:r w:rsidRPr="008F74A8">
              <w:t xml:space="preserve"> o</w:t>
            </w:r>
            <w:r w:rsidR="00416BD5">
              <w:t> </w:t>
            </w:r>
            <w:r w:rsidRPr="008F74A8">
              <w:t>którym mowa w art. 25 znowelizowanej ustawy – za egzamin, na który kandydat się nie stawił, a którego termin mógł być wyznaczony tuż przed zakończeniem cyklu.</w:t>
            </w:r>
            <w:r w:rsidR="00CC4219">
              <w:t xml:space="preserve"> </w:t>
            </w:r>
            <w:r w:rsidR="000045DC">
              <w:t>W przypadku kandydata, którego cykl egzaminacyjny zakończy się wskutek upływu 5 lat od dnia ostatniego wyznaczonego kandydatowi terminu części pisemnej egzaminu, z którego uzyskał wynik negatywny, albo do którego nie przystąpił, i nie ubiegał się o wyznaczenie terminu ponownego egzaminu z tej części (brak aktywności egzaminacyjnej kandydata w tym okresie), dodatkowy 2-miesięczny okres dostępu do systemu e-Doradca będzie pokrywał się z terminem usunięcia danych kandydata, których dalsze przetwarzanie w tym przypadku nie jest zasadne w związku z wieloletnią jego nieaktywnością (jednocześnie określony w projekcie w zmienianym art. 25a ust. 4 pkt 2 ustawy termin usunięcia danych osobowych kandydatów, których cykl egzaminacyjny zakończył się w</w:t>
            </w:r>
            <w:r w:rsidR="00416BD5">
              <w:t> </w:t>
            </w:r>
            <w:r w:rsidR="000045DC">
              <w:t>związku z 5-letnią nieaktywnością zostanie zmieniony z</w:t>
            </w:r>
            <w:r w:rsidR="00416BD5">
              <w:t> </w:t>
            </w:r>
            <w:r w:rsidR="000045DC">
              <w:t>„miesiąca” na „2 miesiące”).</w:t>
            </w:r>
          </w:p>
        </w:tc>
      </w:tr>
      <w:tr w:rsidR="00B763D4" w14:paraId="15D27805" w14:textId="77777777" w:rsidTr="000045DC">
        <w:trPr>
          <w:trHeight w:val="26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5874" w14:textId="48ED5E72" w:rsidR="00B763D4" w:rsidRDefault="00B763D4" w:rsidP="00B763D4">
            <w:pPr>
              <w:ind w:right="5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1509" w14:textId="554D0A16" w:rsidR="00B763D4" w:rsidRDefault="00B763D4" w:rsidP="00B763D4">
            <w:pPr>
              <w:ind w:right="50"/>
              <w:jc w:val="center"/>
              <w:rPr>
                <w:b/>
              </w:rPr>
            </w:pPr>
            <w:r>
              <w:rPr>
                <w:b/>
              </w:rPr>
              <w:t xml:space="preserve">RCL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E38F" w14:textId="77777777" w:rsidR="00B763D4" w:rsidRDefault="00B763D4" w:rsidP="00B763D4">
            <w:pPr>
              <w:ind w:left="32"/>
            </w:pPr>
            <w:r>
              <w:t xml:space="preserve">Art. 27 ust. 2, art. </w:t>
            </w:r>
          </w:p>
          <w:p w14:paraId="6E8DCB44" w14:textId="298E9834" w:rsidR="00B763D4" w:rsidRDefault="00B763D4" w:rsidP="00B763D4">
            <w:pPr>
              <w:jc w:val="center"/>
            </w:pPr>
            <w:r>
              <w:t>31 i art. 33 pkt 2  projektu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D71A" w14:textId="440EB5E7" w:rsidR="00B763D4" w:rsidRDefault="00B763D4" w:rsidP="00FB10A0">
            <w:pPr>
              <w:jc w:val="both"/>
            </w:pPr>
            <w:r>
              <w:t xml:space="preserve">Art. 33 pkt 2 projektu przewiduje wejście w życie dodawanego przepisu art. 24b ustawy  o doradztwie podatkowym, który wprowadza wyłączność  przeprowadzania egzaminu w systemie e-Doradca, z dniem 1 lipca 2026 r. W konsekwencji po tym terminie nie będzie już możliwe przeprowadzenie egzaminu w dotychczasowy sposób (poza systemem). Art. 31 projektu potwierdza przeprowadzenie </w:t>
            </w:r>
            <w:r>
              <w:rPr>
                <w:b/>
              </w:rPr>
              <w:t>po dniu</w:t>
            </w:r>
            <w:r>
              <w:t xml:space="preserve"> 30 czerwca 2026 r. pierwszego egzaminu w tym systemie (wskazując jedynie najwcześniejszy termin takiego „nowego” egzaminu”). Tymczasem dopiero w ciągu kolejnych 6 miesięcy po 1 lipca 2026 r. zostanie ogłoszony termin uruchomienia pierwszej z usług, jakie ma zapewniać system e-Doradca (art. 27 ust. 2 projektu). Projekt nie określa granic wyznaczenia terminu uruchomienia poszczególnych usług – mogą one zatem zostać uruchomione nawet po dłuższym okresie obowiązywania art. 24b ustawy  o doradztwie podatkowym, w którym to okresie egzamin nie będzie mógł być przeprowadzany.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F3C2" w14:textId="40FD6D1F" w:rsidR="00B763D4" w:rsidRDefault="00B763D4" w:rsidP="00B763D4">
            <w:pPr>
              <w:ind w:right="50"/>
              <w:jc w:val="both"/>
            </w:pPr>
            <w:r>
              <w:t>Zasadne jest zapewnienie spójności terminów wejścia w życie nowych regulacji dotyczących obligatoryjnego stosowania systemu e-Doradca, w tym przeprowadzania egzaminu w tym systemie, z terminami uruchomienia usług umożliwiających korzystanie z tego systemu.</w:t>
            </w:r>
          </w:p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2B64" w14:textId="135838D6" w:rsidR="000045DC" w:rsidRDefault="00416BD5" w:rsidP="00416BD5">
            <w:pPr>
              <w:jc w:val="both"/>
            </w:pPr>
            <w:r w:rsidRPr="00416BD5">
              <w:t>Uwaga została uwzględniona, w projekcie ustawy zostaną dokonane odpowiednie zmiany polegające na określeniu terminu końcowego, do którego - najpóźniej - nastąpi uruchomienie w systemie e-Doradca wszystkich usług związanych z organizacją i przeprowadzaniem egzaminu na doradcę podatkowego (do dnia 30 czerwca 2027 r.).</w:t>
            </w:r>
          </w:p>
          <w:p w14:paraId="24FF67D5" w14:textId="77777777" w:rsidR="000045DC" w:rsidRDefault="000045DC" w:rsidP="00416BD5">
            <w:pPr>
              <w:jc w:val="both"/>
            </w:pPr>
          </w:p>
          <w:p w14:paraId="6A8F4838" w14:textId="77777777" w:rsidR="00B763D4" w:rsidRDefault="00B763D4"/>
        </w:tc>
      </w:tr>
    </w:tbl>
    <w:p w14:paraId="1F3E1162" w14:textId="77777777" w:rsidR="003043E6" w:rsidRDefault="003043E6">
      <w:pPr>
        <w:spacing w:after="0"/>
        <w:ind w:left="-1440" w:right="15398"/>
      </w:pPr>
    </w:p>
    <w:p w14:paraId="4DE1CCC5" w14:textId="77777777" w:rsidR="00D42750" w:rsidRDefault="00D42750" w:rsidP="00B763D4">
      <w:pPr>
        <w:pStyle w:val="Nagwek1"/>
      </w:pPr>
    </w:p>
    <w:sectPr w:rsidR="00D42750">
      <w:footerReference w:type="default" r:id="rId6"/>
      <w:pgSz w:w="16838" w:h="11906" w:orient="landscape"/>
      <w:pgMar w:top="725" w:right="1440" w:bottom="83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A4B6C" w14:textId="77777777" w:rsidR="00497FED" w:rsidRDefault="00497FED" w:rsidP="00C01007">
      <w:pPr>
        <w:spacing w:after="0" w:line="240" w:lineRule="auto"/>
      </w:pPr>
      <w:r>
        <w:separator/>
      </w:r>
    </w:p>
  </w:endnote>
  <w:endnote w:type="continuationSeparator" w:id="0">
    <w:p w14:paraId="5F10FB09" w14:textId="77777777" w:rsidR="00497FED" w:rsidRDefault="00497FED" w:rsidP="00C01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2227432"/>
      <w:docPartObj>
        <w:docPartGallery w:val="Page Numbers (Bottom of Page)"/>
        <w:docPartUnique/>
      </w:docPartObj>
    </w:sdtPr>
    <w:sdtEndPr/>
    <w:sdtContent>
      <w:p w14:paraId="685A0FB2" w14:textId="74480E9A" w:rsidR="000045DC" w:rsidRDefault="000045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4FDF58" w14:textId="77777777" w:rsidR="000045DC" w:rsidRDefault="00004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0C91C" w14:textId="77777777" w:rsidR="00497FED" w:rsidRDefault="00497FED" w:rsidP="00C01007">
      <w:pPr>
        <w:spacing w:after="0" w:line="240" w:lineRule="auto"/>
      </w:pPr>
      <w:r>
        <w:separator/>
      </w:r>
    </w:p>
  </w:footnote>
  <w:footnote w:type="continuationSeparator" w:id="0">
    <w:p w14:paraId="68F558D1" w14:textId="77777777" w:rsidR="00497FED" w:rsidRDefault="00497FED" w:rsidP="00C010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3E6"/>
    <w:rsid w:val="0000248C"/>
    <w:rsid w:val="000045DC"/>
    <w:rsid w:val="00045356"/>
    <w:rsid w:val="0019667D"/>
    <w:rsid w:val="003043E6"/>
    <w:rsid w:val="00355A51"/>
    <w:rsid w:val="00416BD5"/>
    <w:rsid w:val="00430675"/>
    <w:rsid w:val="00497FED"/>
    <w:rsid w:val="00540F19"/>
    <w:rsid w:val="006026CD"/>
    <w:rsid w:val="006263D7"/>
    <w:rsid w:val="0063439B"/>
    <w:rsid w:val="008812E4"/>
    <w:rsid w:val="008F74A8"/>
    <w:rsid w:val="00B763D4"/>
    <w:rsid w:val="00B774DC"/>
    <w:rsid w:val="00BB206E"/>
    <w:rsid w:val="00BB3015"/>
    <w:rsid w:val="00C01007"/>
    <w:rsid w:val="00CC4219"/>
    <w:rsid w:val="00CD1657"/>
    <w:rsid w:val="00D42750"/>
    <w:rsid w:val="00DA2AAD"/>
    <w:rsid w:val="00DD6966"/>
    <w:rsid w:val="00F67059"/>
    <w:rsid w:val="00FB10A0"/>
    <w:rsid w:val="00FE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97FC1"/>
  <w15:docId w15:val="{53040DA9-20C7-4B3F-AA8D-FAB4B28D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63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B763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04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5D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04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5DC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6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6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67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6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675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1881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DTS1</cp:lastModifiedBy>
  <cp:revision>2</cp:revision>
  <dcterms:created xsi:type="dcterms:W3CDTF">2025-06-03T13:26:00Z</dcterms:created>
  <dcterms:modified xsi:type="dcterms:W3CDTF">2025-06-03T13:26:00Z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UxC4dwLulzfINJ8nQH+xvX5LNGipWa4BRSZhPgxsCvk1CyOqlmkqMq81VNjR9MR9A2X43tJSocDqVLpl/gUnl4l9qZ5KIE5Mis8QcA3LErM=</vt:lpwstr>
  </property>
  <property fmtid="{D5CDD505-2E9C-101B-9397-08002B2CF9AE}" pid="4" name="MFClassificationDate">
    <vt:lpwstr>2025-06-03T10:58:21.5688510+02:00</vt:lpwstr>
  </property>
  <property fmtid="{D5CDD505-2E9C-101B-9397-08002B2CF9AE}" pid="5" name="MFClassifiedBySID">
    <vt:lpwstr>UxC4dwLulzfINJ8nQH+xvX5LNGipWa4BRSZhPgxsCvm42mrIC/DSDv0ggS+FjUN/2v1BBotkLlY5aAiEhoi6uXWPUpWsmbSkKzrvO/SpHHCp1ZsNdZ/AYjD0eeUMhq7s</vt:lpwstr>
  </property>
  <property fmtid="{D5CDD505-2E9C-101B-9397-08002B2CF9AE}" pid="6" name="MFGRNItemId">
    <vt:lpwstr>GRN-329e89bf-b2a4-491c-ba7b-7958ff32095a</vt:lpwstr>
  </property>
  <property fmtid="{D5CDD505-2E9C-101B-9397-08002B2CF9AE}" pid="7" name="MFHash">
    <vt:lpwstr>Nngmy/6jvEa/lyAqMrO63G84EdbIYtS6GcHJb+UuSJc=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